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CE" w:rsidRDefault="00E575CE" w:rsidP="00E575CE">
      <w:pPr>
        <w:pStyle w:val="3"/>
        <w:ind w:left="719" w:right="283"/>
      </w:pPr>
      <w:r>
        <w:t xml:space="preserve">Особенности организации и проведения ОГЭ по химии </w:t>
      </w:r>
    </w:p>
    <w:p w:rsidR="00E575CE" w:rsidRDefault="00E575CE" w:rsidP="00E575C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575CE" w:rsidRDefault="00E575CE" w:rsidP="00E575CE">
      <w:pPr>
        <w:ind w:left="-15" w:right="284"/>
      </w:pPr>
      <w:r>
        <w:t xml:space="preserve">Проведение лабораторных опытов при выполнении задания 24 осуществляется в условиях химической лаборатории, оборудование которой должно отвечать требованиям СанПиН к кабинетам химии. </w:t>
      </w:r>
    </w:p>
    <w:p w:rsidR="00E575CE" w:rsidRDefault="00E575CE" w:rsidP="00E575CE">
      <w:pPr>
        <w:ind w:left="-15" w:right="284"/>
      </w:pPr>
      <w:r>
        <w:t xml:space="preserve">Перед началом экзаменационной работы или перед началом выполнения задания 24специалист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ведомости.  </w:t>
      </w:r>
    </w:p>
    <w:p w:rsidR="00E575CE" w:rsidRDefault="00E575CE" w:rsidP="00E575CE">
      <w:pPr>
        <w:ind w:left="-15" w:right="284"/>
      </w:pPr>
      <w:r>
        <w:t xml:space="preserve">К выполнению задания 24 не допускаются участники экзамена, не прошедшие инструктаж по технике безопасности.  </w:t>
      </w:r>
    </w:p>
    <w:p w:rsidR="00E575CE" w:rsidRDefault="00E575CE" w:rsidP="00E575CE">
      <w:pPr>
        <w:ind w:left="-15" w:right="284"/>
      </w:pPr>
      <w:r>
        <w:t xml:space="preserve">Примерная инструкция по технике безопасности приведена в настоящих Методических рекомендациях. </w:t>
      </w:r>
    </w:p>
    <w:p w:rsidR="00E575CE" w:rsidRDefault="00E575CE" w:rsidP="00E575CE">
      <w:pPr>
        <w:ind w:left="-15" w:right="284"/>
      </w:pPr>
      <w:r>
        <w:t xml:space="preserve">Для выполнения химического эксперимента, предусмотренного заданиями 23 и 24, каждому участнику экзамена предлагается индивидуальный комплект, состоящий из определённого набора оборудования и реактивов.  </w:t>
      </w:r>
    </w:p>
    <w:p w:rsidR="00E575CE" w:rsidRDefault="00E575CE" w:rsidP="00E575CE">
      <w:pPr>
        <w:ind w:left="-15" w:right="284"/>
      </w:pPr>
      <w:r>
        <w:t xml:space="preserve">Перечни веществ и лабораторного оборудования, включаемых в комплекты для выполнения экспериментальных заданий, составлены на основе общих перечней, которые приведены в Приложении 2 к Спецификации КИМ ОГЭ по химии в 2022 году «Организация подготовки индивидуальных комплектов участников ОГЭ по химии для проведения химического эксперимента (при выполнении заданий 23 и 24)».  </w:t>
      </w:r>
    </w:p>
    <w:p w:rsidR="00E575CE" w:rsidRDefault="00E575CE" w:rsidP="00E575CE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E575CE" w:rsidRDefault="00E575CE" w:rsidP="00E575CE">
      <w:pPr>
        <w:pStyle w:val="4"/>
        <w:ind w:left="16" w:right="239"/>
      </w:pPr>
      <w:r>
        <w:t xml:space="preserve">Организация подготовки индивидуальных комплектов участников ОГЭ по химии для проведения химического эксперимента (при выполнении заданий 23 и 24) </w:t>
      </w:r>
    </w:p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p w:rsidR="00E575CE" w:rsidRDefault="00E575CE" w:rsidP="00E575CE">
      <w:pPr>
        <w:ind w:left="-15" w:right="284"/>
      </w:pPr>
      <w:r>
        <w:t xml:space="preserve">Для выполнения химического эксперимента каждому участнику экзамена по химии предлагается индивидуальный комплект, состоящий из набора оборудования и реактивов.  </w:t>
      </w:r>
    </w:p>
    <w:p w:rsidR="00E575CE" w:rsidRDefault="00E575CE" w:rsidP="00E575CE">
      <w:pPr>
        <w:ind w:left="-15" w:right="284"/>
      </w:pPr>
      <w:r>
        <w:t xml:space="preserve">Набор оборудования, входящего в индивидуальный комплект участника ОГЭ по химии, для всех участников одинаков. Перечень оборудования, входящего в индивидуальный комплект участника ОГЭ по химии, отражён в таблице 1. </w:t>
      </w:r>
    </w:p>
    <w:p w:rsidR="00E575CE" w:rsidRDefault="00E575CE" w:rsidP="00E575CE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575CE" w:rsidRDefault="00E575CE" w:rsidP="00E575CE">
      <w:pPr>
        <w:spacing w:after="0" w:line="259" w:lineRule="auto"/>
        <w:ind w:left="10" w:right="282" w:hanging="10"/>
        <w:jc w:val="right"/>
      </w:pPr>
      <w:r>
        <w:rPr>
          <w:i/>
        </w:rPr>
        <w:t xml:space="preserve">Таблица 1 </w:t>
      </w:r>
    </w:p>
    <w:p w:rsidR="00E575CE" w:rsidRDefault="00E575CE" w:rsidP="00E575CE">
      <w:pPr>
        <w:spacing w:after="0" w:line="259" w:lineRule="auto"/>
        <w:ind w:right="233" w:firstLine="0"/>
        <w:jc w:val="right"/>
      </w:pPr>
      <w:r>
        <w:t xml:space="preserve"> </w:t>
      </w:r>
    </w:p>
    <w:tbl>
      <w:tblPr>
        <w:tblStyle w:val="TableGrid"/>
        <w:tblW w:w="9226" w:type="dxa"/>
        <w:tblInd w:w="490" w:type="dxa"/>
        <w:tblCellMar>
          <w:top w:w="42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5650"/>
        <w:gridCol w:w="2813"/>
      </w:tblGrid>
      <w:tr w:rsidR="00E575CE" w:rsidTr="007344AC">
        <w:trPr>
          <w:trHeight w:val="5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8" w:firstLine="0"/>
              <w:jc w:val="center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64" w:firstLine="0"/>
              <w:jc w:val="center"/>
            </w:pPr>
            <w:r>
              <w:rPr>
                <w:sz w:val="22"/>
              </w:rPr>
              <w:t xml:space="preserve">Оборудование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Количество из расчёта на один комплект </w:t>
            </w:r>
          </w:p>
        </w:tc>
      </w:tr>
      <w:tr w:rsidR="00E575CE" w:rsidTr="007344AC">
        <w:trPr>
          <w:trHeight w:val="3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82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Пробирка малая (10 мл.)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E575CE" w:rsidTr="007344AC">
        <w:trPr>
          <w:trHeight w:val="32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82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Штатив (подставка для пробирок) на 10 гнёзд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82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Склянки для хранения реактивов (10–50 мл)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E575CE" w:rsidTr="007344AC">
        <w:trPr>
          <w:trHeight w:val="3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82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Шпатель (ложечка для отбора сухих веществ)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82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Раздаточный лоток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9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p w:rsidR="00E575CE" w:rsidRDefault="00E575CE" w:rsidP="00E575CE">
      <w:pPr>
        <w:ind w:left="-15" w:right="284"/>
      </w:pPr>
      <w:r>
        <w:t xml:space="preserve">Набор реактивов, входящий в индивидуальный комплект участника ОГЭ по химии, состоит из шести реактивов, перечисленных в условии задания 23, поэтому зависит от выполняемого экзаменуемым варианта КИМ. </w:t>
      </w:r>
    </w:p>
    <w:p w:rsidR="00E575CE" w:rsidRDefault="00E575CE" w:rsidP="00E575CE">
      <w:pPr>
        <w:tabs>
          <w:tab w:val="center" w:pos="1270"/>
          <w:tab w:val="center" w:pos="2497"/>
          <w:tab w:val="center" w:pos="3634"/>
          <w:tab w:val="center" w:pos="4761"/>
          <w:tab w:val="center" w:pos="6206"/>
          <w:tab w:val="center" w:pos="7523"/>
          <w:tab w:val="center" w:pos="8703"/>
          <w:tab w:val="center" w:pos="994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Варианты </w:t>
      </w:r>
      <w:r>
        <w:tab/>
        <w:t xml:space="preserve">КИМ, </w:t>
      </w:r>
      <w:r>
        <w:tab/>
        <w:t xml:space="preserve">которые </w:t>
      </w:r>
      <w:r>
        <w:tab/>
        <w:t xml:space="preserve">будут </w:t>
      </w:r>
      <w:r>
        <w:tab/>
        <w:t xml:space="preserve">использованы </w:t>
      </w:r>
      <w:r>
        <w:tab/>
        <w:t xml:space="preserve">для </w:t>
      </w:r>
      <w:r>
        <w:tab/>
        <w:t xml:space="preserve">проведения </w:t>
      </w:r>
      <w:r>
        <w:tab/>
        <w:t xml:space="preserve">ОГЭ  </w:t>
      </w:r>
    </w:p>
    <w:p w:rsidR="00E575CE" w:rsidRDefault="00E575CE" w:rsidP="00E575CE">
      <w:pPr>
        <w:ind w:left="-15" w:right="284" w:firstLine="0"/>
      </w:pPr>
      <w:r>
        <w:t xml:space="preserve">в определённый день экзамена в одном пункте проведения экзамена, рекомендуется формировать таким образом, чтобы задания линии 24 в этих вариантах включали в себя наборы реактивов, содержащиеся в одном или двух из комплектов реактивов, указанных в таблице 2. </w:t>
      </w:r>
    </w:p>
    <w:p w:rsidR="00E575CE" w:rsidRDefault="00E575CE" w:rsidP="00E575CE">
      <w:pPr>
        <w:spacing w:after="16" w:line="249" w:lineRule="auto"/>
        <w:ind w:left="-15" w:right="283" w:firstLine="720"/>
      </w:pPr>
      <w:r>
        <w:t xml:space="preserve">Поскольку подготовка индивидуальных комплектов участников ОГЭ по химии </w:t>
      </w:r>
      <w:r>
        <w:rPr>
          <w:b/>
        </w:rPr>
        <w:t>должна быть проведена заблаговременно (до дня проведения экзамена), информация о номерах (составах) комплектов реактивов (таблица 2) должна быть своевременно доведена до сведения ответственных специалистов, обеспечивающих подготовку индивидуальных комплектов участников ОГЭ по химии в пунктах проведения экзамена.</w:t>
      </w:r>
      <w:r>
        <w:t xml:space="preserve"> </w:t>
      </w:r>
    </w:p>
    <w:p w:rsidR="00E575CE" w:rsidRDefault="00E575CE" w:rsidP="00E575C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575CE" w:rsidRDefault="00E575CE" w:rsidP="00E575C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575CE" w:rsidRDefault="00E575CE" w:rsidP="00E575CE">
      <w:pPr>
        <w:spacing w:after="28" w:line="259" w:lineRule="auto"/>
        <w:ind w:left="10" w:right="282" w:hanging="10"/>
        <w:jc w:val="right"/>
      </w:pPr>
      <w:r>
        <w:rPr>
          <w:i/>
        </w:rPr>
        <w:t>Таблица 2</w:t>
      </w:r>
      <w:r>
        <w:rPr>
          <w:i/>
          <w:vertAlign w:val="superscript"/>
        </w:rPr>
        <w:t xml:space="preserve"> </w:t>
      </w:r>
    </w:p>
    <w:p w:rsidR="00E575CE" w:rsidRDefault="00E575CE" w:rsidP="00E575CE">
      <w:pPr>
        <w:spacing w:after="0" w:line="259" w:lineRule="auto"/>
        <w:ind w:right="233" w:firstLine="0"/>
        <w:jc w:val="right"/>
      </w:pPr>
      <w:r>
        <w:rPr>
          <w:i/>
        </w:rPr>
        <w:t xml:space="preserve"> </w:t>
      </w:r>
    </w:p>
    <w:tbl>
      <w:tblPr>
        <w:tblStyle w:val="TableGrid"/>
        <w:tblW w:w="10632" w:type="dxa"/>
        <w:tblInd w:w="-710" w:type="dxa"/>
        <w:tblCellMar>
          <w:top w:w="14" w:type="dxa"/>
          <w:left w:w="8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4"/>
        <w:gridCol w:w="2832"/>
      </w:tblGrid>
      <w:tr w:rsidR="00E575CE" w:rsidTr="007344AC">
        <w:trPr>
          <w:trHeight w:val="26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2"/>
              </w:rPr>
              <w:t xml:space="preserve">Комплект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sz w:val="22"/>
              </w:rPr>
              <w:t xml:space="preserve">Комплект 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2"/>
              </w:rPr>
              <w:t xml:space="preserve">Комплект 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2"/>
              </w:rPr>
              <w:t xml:space="preserve">Комплект 4 </w:t>
            </w:r>
          </w:p>
        </w:tc>
      </w:tr>
      <w:tr w:rsidR="00E575CE" w:rsidTr="007344AC">
        <w:trPr>
          <w:trHeight w:val="456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Раствор аммиака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8" w:line="234" w:lineRule="auto"/>
              <w:ind w:right="0" w:hanging="421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Хлорид алюминия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Хлорид аммония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Хлорид магния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Сульфат алюминия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Сульфат цинка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Фосфат калия/натрия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Железо </w:t>
            </w:r>
          </w:p>
          <w:p w:rsidR="00E575CE" w:rsidRDefault="00E575CE" w:rsidP="00E575CE">
            <w:pPr>
              <w:numPr>
                <w:ilvl w:val="0"/>
                <w:numId w:val="1"/>
              </w:numPr>
              <w:spacing w:after="0" w:line="259" w:lineRule="auto"/>
              <w:ind w:right="0" w:hanging="421"/>
              <w:jc w:val="left"/>
            </w:pPr>
            <w:r>
              <w:rPr>
                <w:sz w:val="22"/>
              </w:rPr>
              <w:t xml:space="preserve">Индикаторы (фенолфталеин, метилоранж, лакмус)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Пероксид водорода 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8" w:line="234" w:lineRule="auto"/>
              <w:ind w:right="0" w:hanging="423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Хлорид бария 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Хлорид алюминия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Хлорид кальция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Сульфат железа(II)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39" w:lineRule="auto"/>
              <w:ind w:right="0" w:hanging="423"/>
              <w:jc w:val="left"/>
            </w:pPr>
            <w:r>
              <w:rPr>
                <w:sz w:val="22"/>
              </w:rPr>
              <w:t xml:space="preserve">Карбонат натрия/калия 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Оксид меди(II)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Оксид алюминия </w:t>
            </w:r>
          </w:p>
          <w:p w:rsidR="00E575CE" w:rsidRDefault="00E575CE" w:rsidP="00E575CE">
            <w:pPr>
              <w:numPr>
                <w:ilvl w:val="0"/>
                <w:numId w:val="2"/>
              </w:numPr>
              <w:spacing w:after="0" w:line="259" w:lineRule="auto"/>
              <w:ind w:right="0" w:hanging="423"/>
              <w:jc w:val="left"/>
            </w:pPr>
            <w:r>
              <w:rPr>
                <w:sz w:val="22"/>
              </w:rPr>
              <w:t xml:space="preserve">Индикаторы (фенолфталеин, метилоранж, лакмус)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39" w:lineRule="auto"/>
              <w:ind w:right="0" w:hanging="407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Хлорид бария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Нитрат кальция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39" w:lineRule="auto"/>
              <w:ind w:right="0" w:hanging="407"/>
              <w:jc w:val="left"/>
            </w:pPr>
            <w:r>
              <w:rPr>
                <w:sz w:val="22"/>
              </w:rPr>
              <w:t xml:space="preserve">Карбонат натрия/калия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Фосфат натрия/калия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Оксид кремния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Оксид меди(II)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Сульфат меди(II)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Железо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Медь </w:t>
            </w:r>
          </w:p>
          <w:p w:rsidR="00E575CE" w:rsidRDefault="00E575CE" w:rsidP="00E575CE">
            <w:pPr>
              <w:numPr>
                <w:ilvl w:val="0"/>
                <w:numId w:val="3"/>
              </w:numPr>
              <w:spacing w:after="0" w:line="259" w:lineRule="auto"/>
              <w:ind w:right="0" w:hanging="407"/>
              <w:jc w:val="left"/>
            </w:pPr>
            <w:r>
              <w:rPr>
                <w:sz w:val="22"/>
              </w:rPr>
              <w:t xml:space="preserve">Индикаторы (фенолфталеин, метилоранж, лакмус)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Серная кислота 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Карбонат натрия/калия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Нитрат натрия/калия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Хлорид кальция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Хлорид бария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Сульфат железа(II)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Фосфат калия/натрия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Хлорид железа(III) </w:t>
            </w:r>
          </w:p>
          <w:p w:rsidR="00E575CE" w:rsidRDefault="00E575CE" w:rsidP="00E575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Пероксид водорода  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Индикаторы (фенолфталеин, метилоранж, лакмус) </w:t>
            </w:r>
          </w:p>
        </w:tc>
      </w:tr>
    </w:tbl>
    <w:p w:rsidR="00E575CE" w:rsidRDefault="00E575CE" w:rsidP="00E575CE">
      <w:pPr>
        <w:spacing w:after="0" w:line="259" w:lineRule="auto"/>
        <w:ind w:right="0" w:firstLine="0"/>
        <w:jc w:val="left"/>
      </w:pPr>
      <w:r>
        <w:t xml:space="preserve"> </w:t>
      </w: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  <w:rPr>
          <w:b/>
        </w:rPr>
      </w:pPr>
    </w:p>
    <w:p w:rsidR="00E575CE" w:rsidRDefault="00E575CE" w:rsidP="00E575CE">
      <w:pPr>
        <w:spacing w:after="0" w:line="259" w:lineRule="auto"/>
        <w:ind w:right="233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10632" w:type="dxa"/>
        <w:tblInd w:w="-710" w:type="dxa"/>
        <w:tblCellMar>
          <w:top w:w="14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4"/>
        <w:gridCol w:w="2832"/>
      </w:tblGrid>
      <w:tr w:rsidR="00E575CE" w:rsidTr="007344AC">
        <w:trPr>
          <w:trHeight w:val="26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Комплект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2"/>
              </w:rPr>
              <w:t xml:space="preserve">Комплект 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2"/>
              </w:rPr>
              <w:t xml:space="preserve">Комплект 7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Комплект 8 </w:t>
            </w:r>
          </w:p>
        </w:tc>
      </w:tr>
      <w:tr w:rsidR="00E575CE" w:rsidTr="007344AC">
        <w:trPr>
          <w:trHeight w:val="50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3" w:line="239" w:lineRule="auto"/>
              <w:ind w:right="0" w:hanging="371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Сульфат меди(II)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Сульфат магния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Хлорид меди(II)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Хлорид магния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Хлорид бария 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39" w:lineRule="auto"/>
              <w:ind w:right="0" w:hanging="371"/>
              <w:jc w:val="left"/>
            </w:pPr>
            <w:r>
              <w:rPr>
                <w:sz w:val="22"/>
              </w:rPr>
              <w:t xml:space="preserve">Карбонат натрия/калия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 xml:space="preserve">Цинк </w:t>
            </w:r>
          </w:p>
          <w:p w:rsidR="00E575CE" w:rsidRDefault="00E575CE" w:rsidP="00E575CE">
            <w:pPr>
              <w:numPr>
                <w:ilvl w:val="0"/>
                <w:numId w:val="5"/>
              </w:numPr>
              <w:spacing w:after="0" w:line="259" w:lineRule="auto"/>
              <w:ind w:right="0" w:hanging="371"/>
              <w:jc w:val="left"/>
            </w:pPr>
            <w:r>
              <w:rPr>
                <w:sz w:val="22"/>
              </w:rPr>
              <w:t>Оксид алюминия 13. Индикаторы (фенолфталеин метилоранж, лакмус)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3" w:line="239" w:lineRule="auto"/>
              <w:ind w:right="0" w:hanging="442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Хлорид железа(III)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Сульфат алюминия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Сульфат цинка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Хлорид лития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Фосфат натрия/калия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Нитрат бария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Алюминий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 xml:space="preserve">Медь </w:t>
            </w:r>
          </w:p>
          <w:p w:rsidR="00E575CE" w:rsidRDefault="00E575CE" w:rsidP="00E575CE">
            <w:pPr>
              <w:numPr>
                <w:ilvl w:val="0"/>
                <w:numId w:val="6"/>
              </w:numPr>
              <w:spacing w:after="0" w:line="259" w:lineRule="auto"/>
              <w:ind w:right="0" w:hanging="442"/>
              <w:jc w:val="left"/>
            </w:pPr>
            <w:r>
              <w:rPr>
                <w:sz w:val="22"/>
              </w:rPr>
              <w:t>Индикаторы (фенолфталеин метилоранж, лакмус)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3" w:line="239" w:lineRule="auto"/>
              <w:ind w:right="0" w:hanging="373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Сульфат аммония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44" w:lineRule="auto"/>
              <w:ind w:right="0" w:hanging="373"/>
              <w:jc w:val="left"/>
            </w:pPr>
            <w:r>
              <w:rPr>
                <w:sz w:val="22"/>
              </w:rPr>
              <w:t xml:space="preserve">Бромид </w:t>
            </w:r>
            <w:r>
              <w:rPr>
                <w:sz w:val="22"/>
              </w:rPr>
              <w:tab/>
              <w:t xml:space="preserve">натрия/ 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Иодид натрия/калия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Фосфат натрия/калия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Хлорид лития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8" w:line="234" w:lineRule="auto"/>
              <w:ind w:right="0" w:hanging="373"/>
              <w:jc w:val="left"/>
            </w:pPr>
            <w:r>
              <w:rPr>
                <w:sz w:val="22"/>
              </w:rPr>
              <w:t xml:space="preserve">Нитрат натрия/калия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 xml:space="preserve">Хлорид бария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5" w:line="234" w:lineRule="auto"/>
              <w:ind w:right="0" w:hanging="373"/>
              <w:jc w:val="left"/>
            </w:pPr>
            <w:r>
              <w:rPr>
                <w:sz w:val="22"/>
              </w:rPr>
              <w:t xml:space="preserve">Сульфат натрия/калия </w:t>
            </w:r>
          </w:p>
          <w:p w:rsidR="00E575CE" w:rsidRDefault="00E575CE" w:rsidP="00E575CE">
            <w:pPr>
              <w:numPr>
                <w:ilvl w:val="0"/>
                <w:numId w:val="7"/>
              </w:numPr>
              <w:spacing w:after="0" w:line="259" w:lineRule="auto"/>
              <w:ind w:right="0" w:hanging="373"/>
              <w:jc w:val="left"/>
            </w:pPr>
            <w:r>
              <w:rPr>
                <w:sz w:val="22"/>
              </w:rPr>
              <w:t>Индикаторы (метилоранж, лакмус, фенолфталеин)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Серная кислота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Соляная кислота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Гидроксид натрия/калия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Гидроксид кальция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Гидрокарбонат натрия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Хлорид кальция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Нитрат серебра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Нитрат бария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Хлорид аммония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Хлорид натрия/калия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Оксид магния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Хлорид меди(II) </w:t>
            </w:r>
          </w:p>
          <w:p w:rsidR="00E575CE" w:rsidRDefault="00E575CE" w:rsidP="00E575CE">
            <w:pPr>
              <w:numPr>
                <w:ilvl w:val="0"/>
                <w:numId w:val="8"/>
              </w:numPr>
              <w:spacing w:after="0" w:line="259" w:lineRule="auto"/>
              <w:ind w:right="0" w:hanging="368"/>
              <w:jc w:val="left"/>
            </w:pPr>
            <w:r>
              <w:rPr>
                <w:sz w:val="22"/>
              </w:rPr>
              <w:t xml:space="preserve">Индикаторы </w:t>
            </w:r>
          </w:p>
          <w:p w:rsidR="00E575CE" w:rsidRDefault="00E575CE" w:rsidP="007344AC">
            <w:pPr>
              <w:spacing w:after="0" w:line="259" w:lineRule="auto"/>
              <w:ind w:left="421" w:right="0" w:firstLine="0"/>
              <w:jc w:val="left"/>
            </w:pPr>
            <w:r>
              <w:rPr>
                <w:sz w:val="22"/>
              </w:rPr>
              <w:t>(метилоранж, лакмус, фенолфталеин)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p w:rsidR="00E575CE" w:rsidRDefault="00E575CE" w:rsidP="00E575CE">
      <w:pPr>
        <w:ind w:left="709" w:right="284" w:firstLine="0"/>
      </w:pPr>
      <w:r>
        <w:t xml:space="preserve">Примечания.  </w:t>
      </w:r>
    </w:p>
    <w:p w:rsidR="00E575CE" w:rsidRDefault="00E575CE" w:rsidP="00E575CE">
      <w:pPr>
        <w:ind w:left="-15" w:right="284"/>
      </w:pPr>
      <w:r>
        <w:t xml:space="preserve">Для приготовления растворов, включённых в каждый из восьми комплектов, применяется </w:t>
      </w:r>
      <w:r>
        <w:rPr>
          <w:b/>
        </w:rPr>
        <w:t>дистиллированная вода</w:t>
      </w:r>
      <w:r>
        <w:t xml:space="preserve">. </w:t>
      </w:r>
    </w:p>
    <w:p w:rsidR="00E575CE" w:rsidRDefault="00E575CE" w:rsidP="00E575CE">
      <w:pPr>
        <w:ind w:left="-15" w:right="284"/>
      </w:pPr>
      <w:r>
        <w:t xml:space="preserve">Наличие слеш-черты в комплектах реактивов и в общем перечне веществ указывает на взаимозаменяемость данных реактивов при выполнении задания. </w:t>
      </w:r>
    </w:p>
    <w:p w:rsidR="00E575CE" w:rsidRDefault="00E575CE" w:rsidP="00E575CE">
      <w:pPr>
        <w:ind w:left="-15" w:right="284"/>
      </w:pPr>
      <w:r>
        <w:t xml:space="preserve">Надписи на склянках с веществами, выдаваемых экзаменуемому для проведения реакций, должны полностью соответствовать перечню реактивов, который указан в условии задания. </w:t>
      </w:r>
    </w:p>
    <w:p w:rsidR="00E575CE" w:rsidRDefault="00E575CE" w:rsidP="00E575CE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E575CE" w:rsidRDefault="00E575CE" w:rsidP="00E575CE">
      <w:pPr>
        <w:ind w:left="-15" w:right="284"/>
      </w:pPr>
      <w:r>
        <w:t xml:space="preserve">Общий перечень веществ, включённых в комплекты реактивов, используемых для выполнения экспериментальных заданий ОГЭ по химии, представлен в таблице 3.  </w:t>
      </w:r>
    </w:p>
    <w:p w:rsidR="00E575CE" w:rsidRDefault="00E575CE" w:rsidP="00E575CE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E575CE" w:rsidRDefault="00E575CE" w:rsidP="00E575CE">
      <w:pPr>
        <w:spacing w:after="0" w:line="259" w:lineRule="auto"/>
        <w:ind w:left="10" w:right="282" w:hanging="10"/>
        <w:jc w:val="right"/>
      </w:pPr>
      <w:r>
        <w:rPr>
          <w:i/>
        </w:rPr>
        <w:t xml:space="preserve">Таблица 3  </w:t>
      </w:r>
    </w:p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26" w:type="dxa"/>
        <w:tblInd w:w="-110" w:type="dxa"/>
        <w:tblCellMar>
          <w:top w:w="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54"/>
        <w:gridCol w:w="5962"/>
        <w:gridCol w:w="3610"/>
      </w:tblGrid>
      <w:tr w:rsidR="00E575CE" w:rsidTr="007344AC">
        <w:trPr>
          <w:trHeight w:val="51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CE" w:rsidRDefault="00E575CE" w:rsidP="007344AC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CE" w:rsidRDefault="00E575CE" w:rsidP="007344AC">
            <w:pPr>
              <w:spacing w:after="0" w:line="259" w:lineRule="auto"/>
              <w:ind w:right="18" w:firstLine="0"/>
              <w:jc w:val="center"/>
            </w:pPr>
            <w:r>
              <w:rPr>
                <w:sz w:val="22"/>
              </w:rPr>
              <w:t xml:space="preserve">Вещества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513" w:right="464" w:firstLine="0"/>
              <w:jc w:val="center"/>
            </w:pPr>
            <w:r>
              <w:rPr>
                <w:sz w:val="22"/>
              </w:rPr>
              <w:t xml:space="preserve">В каком виде включены  в комплекты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Алюминий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Гранулы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Железо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Стружка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Цинк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Гранулы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Медь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Проволока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Оксид меди(II)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Порошок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Оксид магния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Порошок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Оксид алюминия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Порошок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Оксид кремния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Порошок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Соляная кислота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Разбавленный раствор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Серная кислота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Разбавленный раствор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Гидроксид натрия / гидроксид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10–15%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Гидроксид кальция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10–15%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натрия / хлорид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lastRenderedPageBreak/>
              <w:t>14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лития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кальция/хлорид магния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меди(II)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алюминия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железа(III)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19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аммония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Хлорид бария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(не более 5%)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натрия / сульфат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магния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меди(II)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железа(II)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цинка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алюминия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Сульфат аммония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Нитрат натрия / нитрат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29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Карбонат натрия / карбонат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Гидрокарбонат натрия / гидрокарбонат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Фосфат натрия / фосфат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Бромид натрия / бромид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Иодид натрия / иодид калия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Нитрат бария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(не более 5%)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Нитрат кальция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Нитрат серебра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Аммиак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5–10%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Пероксид водорода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 3–5% </w:t>
            </w:r>
          </w:p>
        </w:tc>
      </w:tr>
      <w:tr w:rsidR="00E575CE" w:rsidTr="007344AC">
        <w:trPr>
          <w:trHeight w:val="5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39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303" w:right="0" w:hanging="8"/>
              <w:jc w:val="left"/>
            </w:pPr>
            <w:r>
              <w:rPr>
                <w:sz w:val="22"/>
              </w:rPr>
              <w:t xml:space="preserve">Индикаторы (метилоранж, лакмус, фенолфталеин) / индикаторная бумага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Растворы, бумага </w:t>
            </w:r>
          </w:p>
        </w:tc>
      </w:tr>
      <w:tr w:rsidR="00E575CE" w:rsidTr="007344AC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29" w:firstLine="0"/>
              <w:jc w:val="center"/>
            </w:pPr>
            <w:r>
              <w:rPr>
                <w:sz w:val="22"/>
              </w:rPr>
              <w:t>40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 xml:space="preserve">Дистиллированная вода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575CE" w:rsidRDefault="00E575CE" w:rsidP="00E575CE">
      <w:pPr>
        <w:spacing w:after="0" w:line="259" w:lineRule="auto"/>
        <w:ind w:right="0" w:firstLine="0"/>
        <w:jc w:val="left"/>
      </w:pPr>
      <w:r>
        <w:t xml:space="preserve"> </w:t>
      </w:r>
    </w:p>
    <w:p w:rsidR="00E575CE" w:rsidRDefault="00E575CE" w:rsidP="00E575CE">
      <w:pPr>
        <w:ind w:left="-15" w:right="284"/>
      </w:pPr>
      <w:r>
        <w:t xml:space="preserve">Подготовка индивидуальных комплектов участников ОГЭ по химии осуществляется в пункте проведения экзамена специалистами, ответственными за подготовку индивидуальных комплектов участников ОГЭ по химии. Минимальный набор оборудования в ППЭ, необходимый для подготовки индивидуальных комплектов участников ОГЭ по химии, указан в таблице 4.  </w:t>
      </w:r>
    </w:p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p w:rsidR="00E575CE" w:rsidRDefault="00E575CE" w:rsidP="00E575CE">
      <w:pPr>
        <w:spacing w:after="0" w:line="259" w:lineRule="auto"/>
        <w:ind w:left="10" w:right="282" w:hanging="10"/>
        <w:jc w:val="right"/>
      </w:pPr>
      <w:r>
        <w:rPr>
          <w:i/>
        </w:rPr>
        <w:t xml:space="preserve">Таблица 4 </w:t>
      </w:r>
    </w:p>
    <w:p w:rsidR="00E575CE" w:rsidRDefault="00E575CE" w:rsidP="00E575CE">
      <w:pPr>
        <w:spacing w:after="0" w:line="259" w:lineRule="auto"/>
        <w:ind w:right="168" w:firstLine="0"/>
        <w:jc w:val="right"/>
      </w:pPr>
      <w:r>
        <w:rPr>
          <w:i/>
        </w:rPr>
        <w:t xml:space="preserve">  </w:t>
      </w:r>
    </w:p>
    <w:tbl>
      <w:tblPr>
        <w:tblStyle w:val="TableGrid"/>
        <w:tblW w:w="10426" w:type="dxa"/>
        <w:tblInd w:w="-110" w:type="dxa"/>
        <w:tblCellMar>
          <w:top w:w="4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36"/>
        <w:gridCol w:w="3864"/>
      </w:tblGrid>
      <w:tr w:rsidR="00E575CE" w:rsidTr="007344AC">
        <w:trPr>
          <w:trHeight w:val="5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CE" w:rsidRDefault="00E575CE" w:rsidP="007344AC">
            <w:pPr>
              <w:spacing w:after="0" w:line="259" w:lineRule="auto"/>
              <w:ind w:right="106" w:firstLine="0"/>
              <w:jc w:val="center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CE" w:rsidRDefault="00E575CE" w:rsidP="007344AC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Оборудование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Количество из расчёта на одну аудиторию (15 экзаменуемых)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Весы лабораторные электронные до 200 г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>Спиртовка лабораторная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Воронка коническая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Стеклянная палочка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Пробирка ПХ-14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E575CE" w:rsidTr="007344AC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lastRenderedPageBreak/>
              <w:t>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Стакан высокий с носиком ВН-50 с меткой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Цилиндр измерительный 2–50–2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Штатив (подставка) для пробирок на 10 гнёзд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Держатель для пробирок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Шпатель (ложечка для забора веществ)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Раздаточный лоток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5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флаконов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хранения </w:t>
            </w:r>
            <w:r>
              <w:rPr>
                <w:sz w:val="22"/>
              </w:rPr>
              <w:tab/>
              <w:t xml:space="preserve">растворов  и реактивов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15 комплектов по 6 штук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Цилиндр измерительный с носиком 1–500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E575CE" w:rsidTr="007344AC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Стакан высокий 500 мл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Набор ершей для мытья посуды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Халат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Резиновые перчатки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E575CE" w:rsidTr="007344AC">
        <w:trPr>
          <w:trHeight w:val="3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Защитные очки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E575CE" w:rsidTr="007344AC">
        <w:trPr>
          <w:trHeight w:val="5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Спирт этиловый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356" w:right="425" w:hanging="696"/>
              <w:jc w:val="left"/>
            </w:pPr>
            <w:r>
              <w:rPr>
                <w:sz w:val="22"/>
              </w:rPr>
              <w:t xml:space="preserve">20 мл на одну спиртовку  (на 1 раз)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20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Бумага фильтровальная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109" w:firstLine="0"/>
              <w:jc w:val="center"/>
            </w:pPr>
            <w:r>
              <w:rPr>
                <w:sz w:val="22"/>
              </w:rPr>
              <w:t xml:space="preserve">1 на один эксперимент </w:t>
            </w:r>
          </w:p>
        </w:tc>
      </w:tr>
      <w:tr w:rsidR="00E575CE" w:rsidTr="007344AC">
        <w:trPr>
          <w:trHeight w:val="32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21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2"/>
              </w:rPr>
              <w:t xml:space="preserve">Комплект(ы) реактивов (таблица 3)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E" w:rsidRDefault="00E575CE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575CE" w:rsidRDefault="00E575CE" w:rsidP="00E575CE">
      <w:pPr>
        <w:spacing w:after="0" w:line="259" w:lineRule="auto"/>
        <w:ind w:right="233" w:firstLine="0"/>
        <w:jc w:val="right"/>
      </w:pPr>
      <w:r>
        <w:rPr>
          <w:i/>
        </w:rPr>
        <w:t xml:space="preserve"> </w:t>
      </w:r>
    </w:p>
    <w:p w:rsidR="00E575CE" w:rsidRDefault="00E575CE" w:rsidP="00E575CE">
      <w:pPr>
        <w:ind w:left="-15" w:right="284"/>
      </w:pPr>
      <w:r>
        <w:t xml:space="preserve">Для проведения экзамена рекомендуется минимизировать перенос лабораторного оборудования и химических реактивов, предназначенных для проведения химических экспериментов (задание 24). Рекомендуемая схема организации проведения экзамена предполагает выделение в аудитории отдельных столов, на которых будут размещены индивидуальные комплекты, состоящие из лабораторного оборудования и химических реактивов. </w:t>
      </w:r>
    </w:p>
    <w:p w:rsidR="00E575CE" w:rsidRDefault="00E575CE" w:rsidP="00E575CE">
      <w:pPr>
        <w:spacing w:after="89"/>
        <w:ind w:left="-15" w:right="284"/>
      </w:pPr>
      <w:r>
        <w:t xml:space="preserve">Для выполнения химических экспериментов (задание 24) участники экзамена по указанию организатора в аудитории подходят к одному из столов с лабораторным оборудованием (при необходимости с собой они могут взять черновик с записями решения выполнения задания 23) и приступают к выполнению задания 24 после получения соответствующего указания присутствующих экспертов. </w:t>
      </w:r>
    </w:p>
    <w:p w:rsidR="00E575CE" w:rsidRDefault="00E575CE" w:rsidP="00E575CE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299944" wp14:editId="5AE9B8A4">
                <wp:extent cx="1828800" cy="6097"/>
                <wp:effectExtent l="0" t="0" r="0" b="0"/>
                <wp:docPr id="158312" name="Group 158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7"/>
                          <a:chOff x="0" y="0"/>
                          <a:chExt cx="1828800" cy="6097"/>
                        </a:xfrm>
                      </wpg:grpSpPr>
                      <wps:wsp>
                        <wps:cNvPr id="181932" name="Shape 18193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9424B" id="Group 158312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EAxvm2DAgAA&#10;XQYAAA4AAAAAAAAAAAAAAAAALgIAAGRycy9lMm9Eb2MueG1sUEsBAi0AFAAGAAgAAAAhABTEidLZ&#10;AAAAAwEAAA8AAAAAAAAAAAAAAAAA3QQAAGRycy9kb3ducmV2LnhtbFBLBQYAAAAABAAEAPMAAADj&#10;BQAAAAA=&#10;">
                <v:shape id="Shape 181932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575CE" w:rsidRDefault="00E575CE" w:rsidP="00E575CE">
      <w:pPr>
        <w:ind w:left="-15" w:right="284"/>
      </w:pPr>
      <w:r>
        <w:t xml:space="preserve">При возникновении ситуации, когда разлит или рассыпан химический реактив, уборку реактива проводит специалист по проведению инструктажа и обеспечению лабораторных работ. </w:t>
      </w:r>
    </w:p>
    <w:p w:rsidR="00E575CE" w:rsidRDefault="00E575CE" w:rsidP="00E575CE">
      <w:pPr>
        <w:ind w:left="-15" w:right="284"/>
      </w:pPr>
      <w:r>
        <w:t xml:space="preserve">В целях обеспечения оценивания выполнения задания 24 участниками экзамена в каждой аудитории, где участники экзамена проводят химические эксперименты, предусмотренные заданием 24, присутствуют два эксперта, оценивающих выполнение лабораторных работ (задания 24).  </w:t>
      </w:r>
    </w:p>
    <w:p w:rsidR="00E575CE" w:rsidRDefault="00E575CE" w:rsidP="00E575C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575CE" w:rsidRDefault="00E575CE" w:rsidP="00E575CE">
      <w:pPr>
        <w:pStyle w:val="4"/>
        <w:ind w:left="16" w:right="304"/>
      </w:pPr>
      <w:r>
        <w:t xml:space="preserve">Условия проведения работы </w:t>
      </w:r>
    </w:p>
    <w:p w:rsidR="00E575CE" w:rsidRDefault="00E575CE" w:rsidP="00E575CE">
      <w:pPr>
        <w:spacing w:after="0" w:line="259" w:lineRule="auto"/>
        <w:ind w:right="233" w:firstLine="0"/>
        <w:jc w:val="center"/>
      </w:pPr>
      <w:r>
        <w:rPr>
          <w:b/>
        </w:rPr>
        <w:t xml:space="preserve"> </w:t>
      </w:r>
    </w:p>
    <w:p w:rsidR="00E575CE" w:rsidRDefault="00E575CE" w:rsidP="00E575CE">
      <w:pPr>
        <w:ind w:left="-15" w:right="284"/>
      </w:pPr>
      <w:r>
        <w:lastRenderedPageBreak/>
        <w:t xml:space="preserve">Для выполнения химического эксперимента, предусмотренного заданиями 23 и 24, каждому участнику экзамена предлагается индивидуальный комплект, состоящий из определённого набора оборудования и реактивов. </w:t>
      </w:r>
    </w:p>
    <w:p w:rsidR="00E575CE" w:rsidRDefault="00E575CE" w:rsidP="00E575CE">
      <w:pPr>
        <w:ind w:left="-15" w:right="284"/>
      </w:pPr>
      <w:r>
        <w:t xml:space="preserve">При выполнении задания 24 участник экзамена может использовать записи </w:t>
      </w:r>
      <w:proofErr w:type="gramStart"/>
      <w:r>
        <w:t>в  черновике</w:t>
      </w:r>
      <w:proofErr w:type="gramEnd"/>
      <w:r>
        <w:t xml:space="preserve"> с ответом на задание 23, а также делать записи в черновике, которые впоследствии вправе использовать при выполнении других заданий экзаменационной работы. </w:t>
      </w:r>
    </w:p>
    <w:p w:rsidR="00E575CE" w:rsidRDefault="00E575CE" w:rsidP="00E575CE">
      <w:pPr>
        <w:ind w:left="-15" w:right="284"/>
      </w:pPr>
      <w:r>
        <w:t xml:space="preserve">Набор реактивов для выполнения химического эксперимента, предусмотренных заданиями 23 и 24, включает в себя шесть различных веществ (или их растворов), перечисленных перед заданием 23 каждого варианта КИМ. </w:t>
      </w:r>
      <w:r>
        <w:rPr>
          <w:b/>
        </w:rPr>
        <w:t xml:space="preserve">Надписи на склянках с веществами, выдаваемых экзаменуемому для проведения реакций, должны полностью соответствовать перечню реактивов, который указан в условии задания. </w:t>
      </w:r>
    </w:p>
    <w:p w:rsidR="00E575CE" w:rsidRDefault="00E575CE" w:rsidP="00E575CE">
      <w:pPr>
        <w:ind w:left="-15" w:right="284"/>
      </w:pPr>
      <w:r>
        <w:t xml:space="preserve">Проведение лабораторных опытов при выполнении задания 24 осуществляется в условиях химической лаборатории, оборудование которой должно соответствовать требованиям СанПиН к кабинетам химии. </w:t>
      </w:r>
    </w:p>
    <w:p w:rsidR="00E575CE" w:rsidRDefault="00E575CE" w:rsidP="00E575CE">
      <w:pPr>
        <w:ind w:left="-15" w:right="284"/>
      </w:pPr>
      <w:r>
        <w:t>Перед началом экзаменационной работы или перед началом выполнения задания 24 специалист по проведению инструктажа и обеспечению лабораторных работ проводит инструктаж участника(-</w:t>
      </w:r>
      <w:proofErr w:type="spellStart"/>
      <w:r>
        <w:t>ов</w:t>
      </w:r>
      <w:proofErr w:type="spellEnd"/>
      <w:r>
        <w:t xml:space="preserve">) экзамена по технике безопасности при обращении с лабораторным оборудованием и реактивами под подпись каждого участника экзамена. К выполнению задания 24 </w:t>
      </w:r>
      <w:r>
        <w:rPr>
          <w:b/>
          <w:u w:val="single" w:color="000000"/>
        </w:rPr>
        <w:t>не допускаются</w:t>
      </w:r>
      <w:r>
        <w:t xml:space="preserve"> участники экзамена, не прошедшие инструктажа по технике безопасности.  </w:t>
      </w:r>
    </w:p>
    <w:p w:rsidR="00E575CE" w:rsidRDefault="00E575CE" w:rsidP="00E575CE">
      <w:pPr>
        <w:ind w:left="-15" w:right="284"/>
      </w:pPr>
      <w:r>
        <w:t xml:space="preserve">В целях обеспечения оценивания выполнения задания 24 участниками экзамена в каждой аудитории, где участники экзамена проводят химические эксперименты, предусмотренные заданием 24, присутствуют два эксперта, оценивающих выполнение лабораторных работ (задания 24).  </w:t>
      </w:r>
    </w:p>
    <w:p w:rsidR="00E575CE" w:rsidRDefault="00E575CE" w:rsidP="00E575CE">
      <w:pPr>
        <w:ind w:left="-15" w:right="284"/>
      </w:pPr>
      <w:r>
        <w:t xml:space="preserve">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24. Указанные эксперты вносят результаты оценивания в Ведомость оценивания выполнения задания 24 (лабораторной работы) в аудитории, не допуская информирования участников ГИА, организаторов и других лиц о выставляемых баллах, а также, исключая какое-либо взаимодействие с любыми лицами по вопросу оценивания работы участника (жесты, мимика, вербальные оценочные суждения). После окончания экзамена в аудитории, информация о результатах оценивания выполнения участниками экзамена задания 24 направляется вместе с листами (бланками) участников экзамена на дальнейшую обработку в соответствии с </w:t>
      </w:r>
      <w:proofErr w:type="gramStart"/>
      <w:r>
        <w:t>требованиями  к</w:t>
      </w:r>
      <w:proofErr w:type="gramEnd"/>
      <w:r>
        <w:t xml:space="preserve"> упаковке ЭМ, а также в порядке, определенном ОИВ. </w:t>
      </w:r>
    </w:p>
    <w:p w:rsidR="00E575CE" w:rsidRDefault="00E575CE" w:rsidP="00E575CE">
      <w:pPr>
        <w:ind w:left="-15" w:right="284"/>
      </w:pPr>
      <w:r>
        <w:t xml:space="preserve">Эксперты, оценивающие выполнение лабораторных работ, должны пройти соответствующую подготовку. </w:t>
      </w:r>
    </w:p>
    <w:p w:rsidR="00E575CE" w:rsidRDefault="00E575CE" w:rsidP="00E575CE">
      <w:pPr>
        <w:ind w:left="-15" w:right="284"/>
      </w:pPr>
      <w:r>
        <w:t xml:space="preserve">Требования к экспертам, оценивающим выполнение лабораторных работ, определяются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E575CE" w:rsidRDefault="00E575CE" w:rsidP="00E575CE">
      <w:pPr>
        <w:ind w:left="-15" w:right="284"/>
      </w:pPr>
      <w:r>
        <w:t>Рекомендуется, чтобы эксперты, оценивающие выполнение лабораторных работ, отвечали требованиям, аналогичным требованиям, установленным Порядком для экспертов предметных комиссий</w:t>
      </w:r>
      <w:r>
        <w:rPr>
          <w:sz w:val="24"/>
        </w:rPr>
        <w:t xml:space="preserve">: </w:t>
      </w:r>
    </w:p>
    <w:p w:rsidR="00E575CE" w:rsidRDefault="00E575CE" w:rsidP="00E575CE">
      <w:pPr>
        <w:ind w:left="709" w:right="284" w:firstLine="0"/>
      </w:pPr>
      <w:r>
        <w:t xml:space="preserve">наличие высшего образования; </w:t>
      </w:r>
    </w:p>
    <w:p w:rsidR="00E575CE" w:rsidRDefault="00E575CE" w:rsidP="00E575CE">
      <w:pPr>
        <w:ind w:left="-15" w:right="284"/>
      </w:pPr>
      <w:r>
        <w:lastRenderedPageBreak/>
        <w:t xml:space="preserve">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или высшего образования (не менее трех лет); </w:t>
      </w:r>
    </w:p>
    <w:p w:rsidR="00E575CE" w:rsidRDefault="00E575CE" w:rsidP="00E575CE">
      <w:pPr>
        <w:spacing w:after="190"/>
        <w:ind w:left="-15" w:right="284"/>
      </w:pPr>
      <w: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по соответствующему учебному предмету. </w:t>
      </w:r>
    </w:p>
    <w:p w:rsidR="004B6447" w:rsidRDefault="004B6447"/>
    <w:sectPr w:rsidR="004B6447" w:rsidSect="00E575C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91" w:rsidRDefault="00737D91" w:rsidP="00E575CE">
      <w:pPr>
        <w:spacing w:after="0" w:line="240" w:lineRule="auto"/>
      </w:pPr>
      <w:r>
        <w:separator/>
      </w:r>
    </w:p>
  </w:endnote>
  <w:endnote w:type="continuationSeparator" w:id="0">
    <w:p w:rsidR="00737D91" w:rsidRDefault="00737D91" w:rsidP="00E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91" w:rsidRDefault="00737D91" w:rsidP="00E575CE">
      <w:pPr>
        <w:spacing w:after="0" w:line="240" w:lineRule="auto"/>
      </w:pPr>
      <w:r>
        <w:separator/>
      </w:r>
    </w:p>
  </w:footnote>
  <w:footnote w:type="continuationSeparator" w:id="0">
    <w:p w:rsidR="00737D91" w:rsidRDefault="00737D91" w:rsidP="00E575CE">
      <w:pPr>
        <w:spacing w:after="0" w:line="240" w:lineRule="auto"/>
      </w:pPr>
      <w:r>
        <w:continuationSeparator/>
      </w:r>
    </w:p>
  </w:footnote>
  <w:footnote w:id="1">
    <w:p w:rsidR="00E575CE" w:rsidRDefault="00E575CE" w:rsidP="00E575CE">
      <w:pPr>
        <w:pStyle w:val="footnotedescription"/>
        <w:spacing w:line="243" w:lineRule="auto"/>
        <w:ind w:right="295"/>
      </w:pPr>
      <w:r>
        <w:rPr>
          <w:rStyle w:val="footnotemark"/>
        </w:rPr>
        <w:footnoteRef/>
      </w:r>
      <w:r>
        <w:t xml:space="preserve"> При проведении ОГЭ в 2022 г. задания, требующие проведения химических </w:t>
      </w:r>
      <w:proofErr w:type="gramStart"/>
      <w:r>
        <w:t>экспериментов  с</w:t>
      </w:r>
      <w:proofErr w:type="gramEnd"/>
      <w:r>
        <w:t xml:space="preserve"> использованием участниками экзамена спиртовки и/или вытяжного шкафа, не будут включены  в контрольные измерительные материалы.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4F2"/>
    <w:multiLevelType w:val="hybridMultilevel"/>
    <w:tmpl w:val="023AAB5C"/>
    <w:lvl w:ilvl="0" w:tplc="979E36A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8B0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6F1A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09F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AEA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84D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2CE8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A84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E99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E2BD8"/>
    <w:multiLevelType w:val="hybridMultilevel"/>
    <w:tmpl w:val="8D64B5F4"/>
    <w:lvl w:ilvl="0" w:tplc="ED0EE032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EC8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05E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AD5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DC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69D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4A33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817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789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F26F7"/>
    <w:multiLevelType w:val="hybridMultilevel"/>
    <w:tmpl w:val="02720FCC"/>
    <w:lvl w:ilvl="0" w:tplc="6B0291F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87FC4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0A79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08E8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E31D0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42772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295FA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C21CC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2206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91039F"/>
    <w:multiLevelType w:val="hybridMultilevel"/>
    <w:tmpl w:val="1B2CB5DE"/>
    <w:lvl w:ilvl="0" w:tplc="A15E1D3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AD3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9C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A32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CAF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8E5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2CC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C4EA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9A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D2D04"/>
    <w:multiLevelType w:val="hybridMultilevel"/>
    <w:tmpl w:val="4F8C2F94"/>
    <w:lvl w:ilvl="0" w:tplc="9132D354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E48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870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E0B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E24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C5F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6AA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8C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05E3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EA6AF1"/>
    <w:multiLevelType w:val="hybridMultilevel"/>
    <w:tmpl w:val="C1CC51EA"/>
    <w:lvl w:ilvl="0" w:tplc="019290A2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6DE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090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AC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ADD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4FD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4EF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6A9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A5C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52667"/>
    <w:multiLevelType w:val="hybridMultilevel"/>
    <w:tmpl w:val="E2C09AB8"/>
    <w:lvl w:ilvl="0" w:tplc="021EB2D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063A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C94E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A5F7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6F7E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106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69C2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FF4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23A6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B4DCC"/>
    <w:multiLevelType w:val="hybridMultilevel"/>
    <w:tmpl w:val="98E04AD6"/>
    <w:lvl w:ilvl="0" w:tplc="47B8E978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08DF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FC1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CF51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C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202C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62B2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E66A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8272E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E"/>
    <w:rsid w:val="004B6447"/>
    <w:rsid w:val="00737D91"/>
    <w:rsid w:val="00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FED"/>
  <w15:chartTrackingRefBased/>
  <w15:docId w15:val="{8743D483-B3BD-4815-9DE7-813DF80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CE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575CE"/>
    <w:pPr>
      <w:keepNext/>
      <w:keepLines/>
      <w:spacing w:after="16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575CE"/>
    <w:pPr>
      <w:keepNext/>
      <w:keepLines/>
      <w:spacing w:after="12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5C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5C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575CE"/>
    <w:pPr>
      <w:spacing w:after="0" w:line="253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575C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575C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575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2022-05-05T06:22:00Z</dcterms:created>
  <dcterms:modified xsi:type="dcterms:W3CDTF">2022-05-05T06:22:00Z</dcterms:modified>
</cp:coreProperties>
</file>